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E8D7" w14:textId="352A2BBF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noProof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36"/>
          <w:szCs w:val="36"/>
        </w:rPr>
        <w:t>Rahmenvereinbarung</w:t>
      </w:r>
      <w:r>
        <w:rPr>
          <w:rFonts w:ascii="DejaVuSansCondensed-Bold" w:hAnsi="DejaVuSansCondensed-Bold" w:cs="DejaVuSansCondensed-Bold"/>
          <w:b/>
          <w:bCs/>
          <w:noProof/>
          <w:sz w:val="28"/>
          <w:szCs w:val="28"/>
        </w:rPr>
        <w:t xml:space="preserve">                                      </w:t>
      </w:r>
      <w:r>
        <w:rPr>
          <w:rFonts w:ascii="DejaVuSansCondensed-Bold" w:hAnsi="DejaVuSansCondensed-Bold" w:cs="DejaVuSansCondensed-Bold"/>
          <w:b/>
          <w:bCs/>
          <w:noProof/>
          <w:sz w:val="28"/>
          <w:szCs w:val="28"/>
        </w:rPr>
        <w:drawing>
          <wp:inline distT="0" distB="0" distL="0" distR="0" wp14:anchorId="6C3749C7" wp14:editId="2016400C">
            <wp:extent cx="2093976" cy="1161288"/>
            <wp:effectExtent l="0" t="0" r="190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3694" w14:textId="2D181914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Z</w:t>
      </w:r>
      <w:r w:rsidRPr="00A7619C">
        <w:rPr>
          <w:rFonts w:ascii="DejaVuSansCondensed" w:hAnsi="DejaVuSansCondensed" w:cs="DejaVuSansCondensed"/>
        </w:rPr>
        <w:t>wischen</w:t>
      </w:r>
    </w:p>
    <w:p w14:paraId="5F3BEFB2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6B6A997C" w14:textId="1BE47A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A7619C">
        <w:rPr>
          <w:rFonts w:ascii="DejaVuSansCondensed" w:hAnsi="DejaVuSansCondensed" w:cs="DejaVuSansCondensed"/>
          <w:sz w:val="24"/>
          <w:szCs w:val="24"/>
        </w:rPr>
        <w:t xml:space="preserve">Truck &amp; Car </w:t>
      </w:r>
      <w:proofErr w:type="spellStart"/>
      <w:r w:rsidRPr="00A7619C">
        <w:rPr>
          <w:rFonts w:ascii="DejaVuSansCondensed" w:hAnsi="DejaVuSansCondensed" w:cs="DejaVuSansCondensed"/>
          <w:sz w:val="24"/>
          <w:szCs w:val="24"/>
        </w:rPr>
        <w:t>Wash</w:t>
      </w:r>
      <w:proofErr w:type="spellEnd"/>
      <w:r w:rsidRPr="00A7619C"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14:paraId="273AE460" w14:textId="370F5381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proofErr w:type="spellStart"/>
      <w:r w:rsidRPr="00A7619C">
        <w:rPr>
          <w:rFonts w:ascii="DejaVuSansCondensed" w:hAnsi="DejaVuSansCondensed" w:cs="DejaVuSansCondensed"/>
          <w:sz w:val="24"/>
          <w:szCs w:val="24"/>
        </w:rPr>
        <w:t>Siemensstrasse</w:t>
      </w:r>
      <w:proofErr w:type="spellEnd"/>
      <w:r w:rsidRPr="00A7619C">
        <w:rPr>
          <w:rFonts w:ascii="DejaVuSansCondensed" w:hAnsi="DejaVuSansCondensed" w:cs="DejaVuSansCondensed"/>
          <w:sz w:val="24"/>
          <w:szCs w:val="24"/>
        </w:rPr>
        <w:t xml:space="preserve"> 11</w:t>
      </w:r>
    </w:p>
    <w:p w14:paraId="62035ACC" w14:textId="715B29B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 w:rsidRPr="00A7619C">
        <w:rPr>
          <w:rFonts w:ascii="DejaVuSansCondensed" w:hAnsi="DejaVuSansCondensed" w:cs="DejaVuSansCondensed"/>
          <w:sz w:val="24"/>
          <w:szCs w:val="24"/>
        </w:rPr>
        <w:t>89343 Jettingen-Scheppach</w:t>
      </w:r>
    </w:p>
    <w:p w14:paraId="515D055C" w14:textId="66F445FC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info@truckcarwash.de</w:t>
      </w:r>
    </w:p>
    <w:p w14:paraId="3CD647E0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738F2D9E" w14:textId="4E08DD08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1. Vertragspartner</w:t>
      </w:r>
    </w:p>
    <w:p w14:paraId="51A11DE6" w14:textId="2D04E63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483CE79C" w14:textId="52F0CF19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16BBC1D0" w14:textId="3C06FEB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736758A5" w14:textId="5EC0B6C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22313F2C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1548A0AD" w14:textId="1E48D72E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14:paraId="79995D61" w14:textId="4F3B9936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2</w:t>
      </w: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. Leistungsobjekt</w:t>
      </w:r>
    </w:p>
    <w:p w14:paraId="16A4A728" w14:textId="626CAA1B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 xml:space="preserve">Die unter 1. genannte Firma (in Folge Kunde) und </w:t>
      </w:r>
      <w:r w:rsidRPr="00A7619C">
        <w:rPr>
          <w:rFonts w:ascii="DejaVuSansCondensed" w:hAnsi="DejaVuSansCondensed" w:cs="DejaVuSansCondensed"/>
        </w:rPr>
        <w:t xml:space="preserve">Truck &amp; Car </w:t>
      </w:r>
      <w:proofErr w:type="spellStart"/>
      <w:r w:rsidRPr="00A7619C">
        <w:rPr>
          <w:rFonts w:ascii="DejaVuSansCondensed" w:hAnsi="DejaVuSansCondensed" w:cs="DejaVuSansCondensed"/>
        </w:rPr>
        <w:t>Wash</w:t>
      </w:r>
      <w:proofErr w:type="spellEnd"/>
      <w:r w:rsidRPr="00A7619C">
        <w:rPr>
          <w:rFonts w:ascii="DejaVuSansCondensed" w:hAnsi="DejaVuSansCondensed" w:cs="DejaVuSansCondensed"/>
        </w:rPr>
        <w:t xml:space="preserve"> (in Folge </w:t>
      </w:r>
      <w:r w:rsidRPr="00A7619C">
        <w:rPr>
          <w:rFonts w:ascii="DejaVuSansCondensed" w:hAnsi="DejaVuSansCondensed" w:cs="DejaVuSansCondensed"/>
        </w:rPr>
        <w:t>TCW</w:t>
      </w:r>
      <w:r w:rsidRPr="00A7619C">
        <w:rPr>
          <w:rFonts w:ascii="DejaVuSansCondensed" w:hAnsi="DejaVuSansCondensed" w:cs="DejaVuSansCondensed"/>
        </w:rPr>
        <w:t>) vereinbaren, dass der Kunde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 xml:space="preserve">seine Fahrzeuge zu nachfolgend aufgelisteten Bedingungen bei </w:t>
      </w:r>
      <w:r w:rsidRPr="00A7619C">
        <w:rPr>
          <w:rFonts w:ascii="DejaVuSansCondensed" w:hAnsi="DejaVuSansCondensed" w:cs="DejaVuSansCondensed"/>
        </w:rPr>
        <w:t>TCW</w:t>
      </w:r>
      <w:r w:rsidRPr="00A7619C">
        <w:rPr>
          <w:rFonts w:ascii="DejaVuSansCondensed" w:hAnsi="DejaVuSansCondensed" w:cs="DejaVuSansCondensed"/>
        </w:rPr>
        <w:t xml:space="preserve"> auf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Rechnung/Lieferschein waschen lassen kann.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TCW</w:t>
      </w:r>
      <w:r w:rsidRPr="00A7619C">
        <w:rPr>
          <w:rFonts w:ascii="DejaVuSansCondensed" w:hAnsi="DejaVuSansCondensed" w:cs="DejaVuSansCondensed"/>
        </w:rPr>
        <w:t xml:space="preserve"> richtet für diesen Zweck ein Kundenkonto ein.</w:t>
      </w:r>
    </w:p>
    <w:p w14:paraId="065E74CA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06F49EC" w14:textId="3873BB3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AE26767" w14:textId="6AA5B14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2E4F239C" w14:textId="6D34C2D0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3</w:t>
      </w: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. Leistungsumfang</w:t>
      </w:r>
    </w:p>
    <w:p w14:paraId="718E1ED2" w14:textId="70B31AF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Die Basiswäsche beinhaltet die komplette Außenreinigung des Fahrzeuges incl. Felgen</w:t>
      </w:r>
      <w:r w:rsidRPr="00A7619C">
        <w:rPr>
          <w:rFonts w:ascii="DejaVuSansCondensed" w:hAnsi="DejaVuSansCondensed" w:cs="DejaVuSansCondensed"/>
        </w:rPr>
        <w:t xml:space="preserve">, Unterboden </w:t>
      </w:r>
      <w:r w:rsidRPr="00A7619C">
        <w:rPr>
          <w:rFonts w:ascii="DejaVuSansCondensed" w:hAnsi="DejaVuSansCondensed" w:cs="DejaVuSansCondensed"/>
        </w:rPr>
        <w:t>und Chassis durch. Weitere Leistungen siehe Preisliste</w:t>
      </w:r>
    </w:p>
    <w:p w14:paraId="221F18D4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461D6776" w14:textId="7116E6AB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169C0EEE" w14:textId="7BF58E0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4D7DFCAF" w14:textId="6798D702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4.</w:t>
      </w: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 xml:space="preserve"> Preise</w:t>
      </w:r>
    </w:p>
    <w:p w14:paraId="1126B3E5" w14:textId="214B3AC1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Für die erbrachte Reinigungsleistung, berechnet CTW den in der jeweils gültigen Preisliste ausgeschriebenen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Nettobetrag für den jeweiligen Fahrzeugtyp (Waschprogramm), abzüglich der nachfolgend aufgeführten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Sonderrabatte, abhängig der getätigten Wäschen pro Monat. Rabattfähig sind alle in unseren Anlagen getätigten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Wäschen. Die Preise verstehen sich zuzüglich der jeweils gültigen Mehrwertsteuer</w:t>
      </w:r>
    </w:p>
    <w:p w14:paraId="11ECC4F5" w14:textId="1E084A6B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F1BB6B3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6DBEE279" w14:textId="4F03332B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6007527" w14:textId="3EAB8E3C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5</w:t>
      </w: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. Rabatte</w:t>
      </w:r>
    </w:p>
    <w:p w14:paraId="1A9B2765" w14:textId="163F9825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 xml:space="preserve">Bei monatlich 10 bis 30 Wäschen = </w:t>
      </w:r>
      <w:r>
        <w:rPr>
          <w:rFonts w:ascii="DejaVuSansCondensed" w:hAnsi="DejaVuSansCondensed" w:cs="DejaVuSansCondensed"/>
        </w:rPr>
        <w:t>5</w:t>
      </w:r>
      <w:r w:rsidRPr="00A7619C">
        <w:rPr>
          <w:rFonts w:ascii="DejaVuSansCondensed" w:hAnsi="DejaVuSansCondensed" w:cs="DejaVuSansCondensed"/>
        </w:rPr>
        <w:t>% Rabatt</w:t>
      </w:r>
    </w:p>
    <w:p w14:paraId="4D431972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Bei monatlich 31 bis 50 Wäschen = 10% Rabatt</w:t>
      </w:r>
    </w:p>
    <w:p w14:paraId="2233F665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Bei monatlich 51 bis 100 Wäschen = 12% Rabatt</w:t>
      </w:r>
    </w:p>
    <w:p w14:paraId="48CED229" w14:textId="253CC3F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Ab monatlich 100 Wäschen = 15% Rabatt</w:t>
      </w:r>
    </w:p>
    <w:p w14:paraId="27370438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1BFDD12D" w14:textId="734E614B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20F7720F" w14:textId="4FDF6E0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1688F578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lastRenderedPageBreak/>
        <w:t>7. Zahlungsbedingungen</w:t>
      </w:r>
    </w:p>
    <w:p w14:paraId="1DB50769" w14:textId="5227F1A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 xml:space="preserve">Die Rechnungstellung erfolgt </w:t>
      </w:r>
      <w:r>
        <w:rPr>
          <w:rFonts w:ascii="DejaVuSansCondensed" w:hAnsi="DejaVuSansCondensed" w:cs="DejaVuSansCondensed"/>
        </w:rPr>
        <w:t>m</w:t>
      </w:r>
      <w:r w:rsidRPr="00A7619C">
        <w:rPr>
          <w:rFonts w:ascii="DejaVuSansCondensed" w:hAnsi="DejaVuSansCondensed" w:cs="DejaVuSansCondensed"/>
        </w:rPr>
        <w:t>onatlich</w:t>
      </w:r>
      <w:r>
        <w:rPr>
          <w:rFonts w:ascii="DejaVuSansCondensed" w:hAnsi="DejaVuSansCondensed" w:cs="DejaVuSansCondensed"/>
        </w:rPr>
        <w:t xml:space="preserve"> per Post oder elektronisch</w:t>
      </w:r>
      <w:r w:rsidRPr="00A7619C">
        <w:rPr>
          <w:rFonts w:ascii="DejaVuSansCondensed" w:hAnsi="DejaVuSansCondensed" w:cs="DejaVuSansCondensed"/>
        </w:rPr>
        <w:t>. Der Rechnungsbetrag wird nach</w:t>
      </w:r>
      <w:r>
        <w:rPr>
          <w:rFonts w:ascii="DejaVuSansCondensed" w:hAnsi="DejaVuSansCondensed" w:cs="DejaVuSansCondensed"/>
        </w:rPr>
        <w:t xml:space="preserve"> </w:t>
      </w:r>
      <w:proofErr w:type="gramStart"/>
      <w:r>
        <w:rPr>
          <w:rFonts w:ascii="DejaVuSansCondensed" w:hAnsi="DejaVuSansCondensed" w:cs="DejaVuSansCondensed"/>
        </w:rPr>
        <w:t xml:space="preserve">Vereinbarung  </w:t>
      </w:r>
      <w:r w:rsidRPr="00A7619C">
        <w:rPr>
          <w:rFonts w:ascii="DejaVuSansCondensed" w:hAnsi="DejaVuSansCondensed" w:cs="DejaVuSansCondensed"/>
        </w:rPr>
        <w:t>per</w:t>
      </w:r>
      <w:proofErr w:type="gramEnd"/>
      <w:r w:rsidRPr="00A7619C">
        <w:rPr>
          <w:rFonts w:ascii="DejaVuSansCondensed" w:hAnsi="DejaVuSansCondensed" w:cs="DejaVuSansCondensed"/>
        </w:rPr>
        <w:t xml:space="preserve"> Lastschrift</w:t>
      </w:r>
      <w:r>
        <w:rPr>
          <w:rFonts w:ascii="DejaVuSansCondensed" w:hAnsi="DejaVuSansCondensed" w:cs="DejaVuSansCondensed"/>
        </w:rPr>
        <w:t xml:space="preserve"> oder Überweisung beglichen. </w:t>
      </w:r>
    </w:p>
    <w:p w14:paraId="5E84EA1B" w14:textId="2C15F0C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44EA082F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8. Haftungsausschluss</w:t>
      </w:r>
    </w:p>
    <w:p w14:paraId="65650C45" w14:textId="044C68B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 xml:space="preserve">Die Firma </w:t>
      </w:r>
      <w:r>
        <w:rPr>
          <w:rFonts w:ascii="DejaVuSansCondensed" w:hAnsi="DejaVuSansCondensed" w:cs="DejaVuSansCondensed"/>
        </w:rPr>
        <w:t>TCW</w:t>
      </w:r>
      <w:r w:rsidRPr="00A7619C">
        <w:rPr>
          <w:rFonts w:ascii="DejaVuSansCondensed" w:hAnsi="DejaVuSansCondensed" w:cs="DejaVuSansCondensed"/>
        </w:rPr>
        <w:t xml:space="preserve"> haftet nicht für Schäden, die aus dem Vertragsverhältnis und seiner Erfüllung entstehen, es sei denn,</w:t>
      </w:r>
      <w:r>
        <w:rPr>
          <w:rFonts w:ascii="DejaVuSansCondensed" w:hAnsi="DejaVuSansCondensed" w:cs="DejaVuSansCondensed"/>
        </w:rPr>
        <w:t xml:space="preserve"> TCW</w:t>
      </w:r>
      <w:r w:rsidRPr="00A7619C">
        <w:rPr>
          <w:rFonts w:ascii="DejaVuSansCondensed" w:hAnsi="DejaVuSansCondensed" w:cs="DejaVuSansCondensed"/>
        </w:rPr>
        <w:t xml:space="preserve"> und / oder ihre Erfüllungs- bzw. Verrichtungsgehilfen haben diese Schäden grob fahrlässig oder vorsätzlich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verursacht. Bei Verletzung vertragswesentlicher Pflichten sowie bei der Haftung wegen Verletzung des Lebens, des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 xml:space="preserve">Körpers oder der Gesundheit, haftet </w:t>
      </w:r>
      <w:r>
        <w:rPr>
          <w:rFonts w:ascii="DejaVuSansCondensed" w:hAnsi="DejaVuSansCondensed" w:cs="DejaVuSansCondensed"/>
        </w:rPr>
        <w:t>TCW</w:t>
      </w:r>
      <w:r w:rsidRPr="00A7619C">
        <w:rPr>
          <w:rFonts w:ascii="DejaVuSansCondensed" w:hAnsi="DejaVuSansCondensed" w:cs="DejaVuSansCondensed"/>
        </w:rPr>
        <w:t xml:space="preserve"> jedoch uneingeschränkt im Rahmen der eingedeckten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Versicherungsleistungen auch für fahrlässige Verursachung.</w:t>
      </w:r>
    </w:p>
    <w:p w14:paraId="748FA38D" w14:textId="45826158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5DD46F5" w14:textId="04F8049E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9D5CC2F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70948DBA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9. Sonderleistungen</w:t>
      </w:r>
    </w:p>
    <w:p w14:paraId="498C2448" w14:textId="0259E93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Weitere Sonderleistungen werden gesondert in Rechnung gestellt. (siehe Preisliste)</w:t>
      </w:r>
    </w:p>
    <w:p w14:paraId="4E55517A" w14:textId="3A23956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022695D7" w14:textId="1D4F064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7BB10CAA" w14:textId="523FC70C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22FB85C" w14:textId="77777777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 w:rsidRPr="00A7619C">
        <w:rPr>
          <w:rFonts w:ascii="DejaVuSansCondensed-Bold" w:hAnsi="DejaVuSansCondensed-Bold" w:cs="DejaVuSansCondensed-Bold"/>
          <w:b/>
          <w:bCs/>
          <w:sz w:val="28"/>
          <w:szCs w:val="28"/>
        </w:rPr>
        <w:t>10. Salvatorische Klausel</w:t>
      </w:r>
    </w:p>
    <w:p w14:paraId="15704F4E" w14:textId="459CC2CA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7619C">
        <w:rPr>
          <w:rFonts w:ascii="DejaVuSansCondensed" w:hAnsi="DejaVuSansCondensed" w:cs="DejaVuSansCondensed"/>
        </w:rPr>
        <w:t>Sollte eine Klausel oder ein Teil einer Klausel dieser Vereinbarung unwirksam sein oder werden, so bleibt die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Wirksamkeit der übrigen Vereinbarungen davon unberührt. Beide Parteien verpflichten sich schon jetzt, eine wirksame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Klausel zu vereinbaren und von vornherein für und gegen sich gelten zu lassen, die der ursprünglich gewollten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wirtschaftlich am nächsten kommt und zulässig ist. Der Vertragspartner bestätigt, dass er die unten aufgeführten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allgemeinen Geschäftsbedingungen zur Kenntnis genommen hat und erkennt diese als Vertragsbestandteil</w:t>
      </w:r>
      <w:r>
        <w:rPr>
          <w:rFonts w:ascii="DejaVuSansCondensed" w:hAnsi="DejaVuSansCondensed" w:cs="DejaVuSansCondensed"/>
        </w:rPr>
        <w:t xml:space="preserve"> </w:t>
      </w:r>
      <w:r w:rsidRPr="00A7619C">
        <w:rPr>
          <w:rFonts w:ascii="DejaVuSansCondensed" w:hAnsi="DejaVuSansCondensed" w:cs="DejaVuSansCondensed"/>
        </w:rPr>
        <w:t>ausdrücklich an.</w:t>
      </w:r>
    </w:p>
    <w:p w14:paraId="4A6FEE6E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4AEA463" w14:textId="0AE51D85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2AA2999" w14:textId="250A817D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F166703" w14:textId="397AA652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14B7587" w14:textId="36E87870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0F61239A" w14:textId="1C9F864A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2EEF9954" w14:textId="38D9FA31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D5FF901" w14:textId="05E04E9E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0934C02B" w14:textId="461273F5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______________________________</w:t>
      </w:r>
    </w:p>
    <w:p w14:paraId="73C409C6" w14:textId="109F287F" w:rsidR="00A7619C" w:rsidRP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  <w:sz w:val="20"/>
          <w:szCs w:val="20"/>
        </w:rPr>
        <w:t>Datum, Kunde Unterschrift/Stempel</w:t>
      </w:r>
    </w:p>
    <w:p w14:paraId="0DE91EF3" w14:textId="77777777" w:rsidR="00A7619C" w:rsidRDefault="00A7619C" w:rsidP="00A761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5714CD7B" w14:textId="2B78B607" w:rsidR="0082740C" w:rsidRDefault="0082740C" w:rsidP="00A7619C"/>
    <w:sectPr w:rsidR="0082740C" w:rsidSect="007F08D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9C"/>
    <w:rsid w:val="004321FC"/>
    <w:rsid w:val="006723C8"/>
    <w:rsid w:val="007F08DA"/>
    <w:rsid w:val="0082740C"/>
    <w:rsid w:val="00905A08"/>
    <w:rsid w:val="00A7619C"/>
    <w:rsid w:val="00B3626D"/>
    <w:rsid w:val="00B47534"/>
    <w:rsid w:val="00E3163A"/>
    <w:rsid w:val="00E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AF61"/>
  <w15:chartTrackingRefBased/>
  <w15:docId w15:val="{0FED3BFE-A325-42A1-92E5-05441BD5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1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2021-12-29T07:54:00Z</dcterms:created>
  <dcterms:modified xsi:type="dcterms:W3CDTF">2021-12-29T08:16:00Z</dcterms:modified>
</cp:coreProperties>
</file>